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</w:tblGrid>
      <w:tr w:rsidR="00AA4488" w:rsidRPr="00AA4488" w:rsidTr="00AA4488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A4488" w:rsidRPr="00AA4488" w:rsidRDefault="00AA4488" w:rsidP="00AA4488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r w:rsidRPr="00AA4488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ZAKON</w:t>
            </w:r>
          </w:p>
          <w:p w:rsidR="00AA4488" w:rsidRPr="00AA4488" w:rsidRDefault="00AA4488" w:rsidP="00AA4488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AA4488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ZATEZNOJ KAMATI</w:t>
            </w:r>
          </w:p>
          <w:p w:rsidR="00AA4488" w:rsidRPr="00AA4488" w:rsidRDefault="00AA4488" w:rsidP="00AA4488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AA4488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RS", br. 119/2012)</w:t>
            </w:r>
          </w:p>
        </w:tc>
      </w:tr>
    </w:tbl>
    <w:p w:rsidR="00AA4488" w:rsidRPr="00AA4488" w:rsidRDefault="00AA4488" w:rsidP="00AA44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0" w:name="clan_1"/>
      <w:bookmarkEnd w:id="0"/>
      <w:r w:rsidRPr="00AA448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Ovim zakonom uređuje se visina stope i način obračuna zatezne kamate koju plaća dužnik koji zadocni sa ispunjenjem novčane obaveze. </w:t>
      </w:r>
    </w:p>
    <w:p w:rsidR="00AA4488" w:rsidRPr="00AA4488" w:rsidRDefault="00AA4488" w:rsidP="00AA44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" w:name="clan_2"/>
      <w:bookmarkEnd w:id="1"/>
      <w:r w:rsidRPr="00AA448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Dužnik koji zadocni sa ispunjenjem novčane obaveze, pored glavnice, duguje i zateznu kamatu na iznos duga do dana isplate, i to po stopi utvrđenoj ovim zakonom. </w:t>
      </w:r>
    </w:p>
    <w:p w:rsidR="00AA4488" w:rsidRPr="00AA4488" w:rsidRDefault="00AA4488" w:rsidP="00AA44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clan_3"/>
      <w:bookmarkEnd w:id="2"/>
      <w:r w:rsidRPr="00AA448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Stopa zatezne kamate, iz člana 2. ovog zakona, na iznos duga koji glasi na dinare, utvrđuje se na godišnjem nivou u visini referentne kamatne stope Narodne banke Srbije uvećane za osam procentnih poena. </w:t>
      </w:r>
    </w:p>
    <w:p w:rsidR="00AA4488" w:rsidRPr="00AA4488" w:rsidRDefault="00AA4488" w:rsidP="00AA44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" w:name="clan_4"/>
      <w:bookmarkEnd w:id="3"/>
      <w:r w:rsidRPr="00AA448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4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Stopa zatezne kamate, iz člana 2. ovog zakona, na iznos duga koji glasi na evre, utvrđuje se na godišnjem nivou u visini referentne kamatne stope Evropske centralne banke na glavne operacije za refinansiranje uvećane za osam procentnih poena.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Stopa zatezne kamate, iz člana 2. ovog zakona, na iznos duga koji glasi na drugu stranu valutu, utvrđuje se na godišnjem nivou u visini referentne/ osnovne kamatne stope koju propisuje i/ili primenjuje prilikom sprovođenja glavnih operacija centralna banka zemlje domicilne valute uvećane za osam procentnih poena.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Ukoliko referentna/osnovna kamatna stopa, iz st. 1. i 2. ovog člana, nije utvrđena kao fiksna kamatna stopa, nego je utvrđena u određenom rasponu između minimalne i maksimalne kamatne stope od strane domicilne centralne banke, stopa zatezne kamate utvrđuje se kao aritmetička sredina minimalne i maksimalne referentne/osnovne kamatne stope uvećane za osam procentnih poena. </w:t>
      </w:r>
    </w:p>
    <w:p w:rsidR="00AA4488" w:rsidRPr="00AA4488" w:rsidRDefault="00AA4488" w:rsidP="00AA44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" w:name="clan_5"/>
      <w:bookmarkEnd w:id="4"/>
      <w:r w:rsidRPr="00AA448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5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Stopa zatezne kamate utvrđuje se na način iz člana 4. ovog zakona i u slučaju kada iznos duga glasi na stranu valutu, a isplaćuje se u dinarima. </w:t>
      </w:r>
    </w:p>
    <w:p w:rsidR="00AA4488" w:rsidRPr="00AA4488" w:rsidRDefault="00AA4488" w:rsidP="00AA44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" w:name="clan_6"/>
      <w:bookmarkEnd w:id="5"/>
      <w:r w:rsidRPr="00AA448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6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Zatezna kamata, u smislu ovog zakona, obračunava se za kalendarski broj dana perioda docnje u izmirivanju obaveza u odnosu na kalendarski broj dana u godini (365, odnosno 366 dana), primenom prostog interesnog računa od sto i dekurzivnog načina obračuna, bez pripisa obračunate zatezne kamate glavnici istekom obračunskog perioda, prema sledećoj formuli: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8"/>
        <w:gridCol w:w="939"/>
        <w:gridCol w:w="4284"/>
      </w:tblGrid>
      <w:tr w:rsidR="00AA4488" w:rsidRPr="00AA4488" w:rsidTr="00AA4488">
        <w:trPr>
          <w:tblCellSpacing w:w="0" w:type="dxa"/>
        </w:trPr>
        <w:tc>
          <w:tcPr>
            <w:tcW w:w="2200" w:type="pct"/>
            <w:vMerge w:val="restart"/>
            <w:vAlign w:val="center"/>
            <w:hideMark/>
          </w:tcPr>
          <w:p w:rsidR="00AA4488" w:rsidRPr="00AA4488" w:rsidRDefault="00AA4488" w:rsidP="00AA44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A4488">
              <w:rPr>
                <w:rFonts w:ascii="Arial" w:eastAsia="Times New Roman" w:hAnsi="Arial" w:cs="Arial"/>
                <w:i/>
                <w:iCs/>
                <w:lang w:eastAsia="sr-Latn-CS"/>
              </w:rPr>
              <w:lastRenderedPageBreak/>
              <w:t>k</w:t>
            </w:r>
            <w:r w:rsidRPr="00AA4488">
              <w:rPr>
                <w:rFonts w:ascii="Arial" w:eastAsia="Times New Roman" w:hAnsi="Arial" w:cs="Arial"/>
                <w:lang w:eastAsia="sr-Latn-CS"/>
              </w:rPr>
              <w:t xml:space="preserve"> = 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:rsidR="00AA4488" w:rsidRPr="00AA4488" w:rsidRDefault="00AA4488" w:rsidP="00AA44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A4488">
              <w:rPr>
                <w:rFonts w:ascii="Arial" w:eastAsia="Times New Roman" w:hAnsi="Arial" w:cs="Arial"/>
                <w:i/>
                <w:iCs/>
                <w:lang w:eastAsia="sr-Latn-CS"/>
              </w:rPr>
              <w:t>G</w:t>
            </w:r>
            <w:r w:rsidRPr="00AA4488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r w:rsidRPr="00AA4488">
              <w:rPr>
                <w:rFonts w:ascii="Symbol" w:eastAsia="Times New Roman" w:hAnsi="Symbol" w:cs="Arial"/>
                <w:sz w:val="20"/>
                <w:szCs w:val="20"/>
                <w:lang w:eastAsia="sr-Latn-CS"/>
              </w:rPr>
              <w:t></w:t>
            </w:r>
            <w:r w:rsidRPr="00AA4488">
              <w:rPr>
                <w:rFonts w:ascii="Symbol" w:eastAsia="Times New Roman" w:hAnsi="Symbol" w:cs="Arial"/>
                <w:sz w:val="20"/>
                <w:szCs w:val="20"/>
                <w:lang w:eastAsia="sr-Latn-CS"/>
              </w:rPr>
              <w:t></w:t>
            </w:r>
            <w:r w:rsidRPr="00AA4488">
              <w:rPr>
                <w:rFonts w:ascii="Arial" w:eastAsia="Times New Roman" w:hAnsi="Arial" w:cs="Arial"/>
                <w:i/>
                <w:iCs/>
                <w:lang w:eastAsia="sr-Latn-CS"/>
              </w:rPr>
              <w:t>p</w:t>
            </w:r>
            <w:r w:rsidRPr="00AA4488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r w:rsidRPr="00AA4488">
              <w:rPr>
                <w:rFonts w:ascii="Symbol" w:eastAsia="Times New Roman" w:hAnsi="Symbol" w:cs="Arial"/>
                <w:sz w:val="20"/>
                <w:szCs w:val="20"/>
                <w:lang w:eastAsia="sr-Latn-CS"/>
              </w:rPr>
              <w:t></w:t>
            </w:r>
            <w:r w:rsidRPr="00AA4488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r w:rsidRPr="00AA4488">
              <w:rPr>
                <w:rFonts w:ascii="Arial" w:eastAsia="Times New Roman" w:hAnsi="Arial" w:cs="Arial"/>
                <w:i/>
                <w:iCs/>
                <w:lang w:eastAsia="sr-Latn-CS"/>
              </w:rPr>
              <w:t>d</w:t>
            </w:r>
            <w:r w:rsidRPr="00AA4488">
              <w:rPr>
                <w:rFonts w:ascii="Arial" w:eastAsia="Times New Roman" w:hAnsi="Arial" w:cs="Arial"/>
                <w:lang w:eastAsia="sr-Latn-CS"/>
              </w:rPr>
              <w:t xml:space="preserve"> </w:t>
            </w:r>
          </w:p>
        </w:tc>
        <w:tc>
          <w:tcPr>
            <w:tcW w:w="2400" w:type="pct"/>
            <w:vMerge w:val="restart"/>
            <w:vAlign w:val="center"/>
            <w:hideMark/>
          </w:tcPr>
          <w:p w:rsidR="00AA4488" w:rsidRPr="00AA4488" w:rsidRDefault="00AA4488" w:rsidP="00AA44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A4488">
              <w:rPr>
                <w:rFonts w:ascii="Arial" w:eastAsia="Times New Roman" w:hAnsi="Arial" w:cs="Arial"/>
                <w:lang w:eastAsia="sr-Latn-CS"/>
              </w:rPr>
              <w:t>,</w:t>
            </w:r>
          </w:p>
        </w:tc>
      </w:tr>
      <w:tr w:rsidR="00AA4488" w:rsidRPr="00AA4488" w:rsidTr="00AA44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4488" w:rsidRPr="00AA4488" w:rsidRDefault="00AA4488" w:rsidP="00AA4488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A4488" w:rsidRPr="00AA4488" w:rsidRDefault="00AA4488" w:rsidP="00AA44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A4488">
              <w:rPr>
                <w:rFonts w:ascii="Arial" w:eastAsia="Times New Roman" w:hAnsi="Arial" w:cs="Arial"/>
                <w:lang w:eastAsia="sr-Latn-CS"/>
              </w:rPr>
              <w:t xml:space="preserve">100 </w:t>
            </w:r>
            <w:r w:rsidRPr="00AA4488">
              <w:rPr>
                <w:rFonts w:ascii="Symbol" w:eastAsia="Times New Roman" w:hAnsi="Symbol" w:cs="Arial"/>
                <w:sz w:val="20"/>
                <w:szCs w:val="20"/>
                <w:lang w:eastAsia="sr-Latn-CS"/>
              </w:rPr>
              <w:t></w:t>
            </w:r>
            <w:r w:rsidRPr="00AA4488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r w:rsidRPr="00AA4488">
              <w:rPr>
                <w:rFonts w:ascii="Arial" w:eastAsia="Times New Roman" w:hAnsi="Arial" w:cs="Arial"/>
                <w:i/>
                <w:iCs/>
                <w:lang w:eastAsia="sr-Latn-CS"/>
              </w:rPr>
              <w:t>G</w:t>
            </w:r>
            <w:r w:rsidRPr="00AA4488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CS"/>
              </w:rPr>
              <w:t>d</w:t>
            </w:r>
          </w:p>
        </w:tc>
        <w:tc>
          <w:tcPr>
            <w:tcW w:w="0" w:type="auto"/>
            <w:vMerge/>
            <w:vAlign w:val="center"/>
            <w:hideMark/>
          </w:tcPr>
          <w:p w:rsidR="00AA4488" w:rsidRPr="00AA4488" w:rsidRDefault="00AA4488" w:rsidP="00AA4488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</w:tbl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gde je: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k - iznos zatezne kamate,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G - iznos duga,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p - propisana godišnja stopa zatezne kamate,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d - kalendarski broj dana docnje u obračunskom periodu,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>G</w:t>
      </w:r>
      <w:r w:rsidRPr="00AA4488">
        <w:rPr>
          <w:rFonts w:ascii="Arial" w:eastAsia="Times New Roman" w:hAnsi="Arial" w:cs="Arial"/>
          <w:sz w:val="15"/>
          <w:szCs w:val="15"/>
          <w:vertAlign w:val="subscript"/>
          <w:lang w:eastAsia="sr-Latn-CS"/>
        </w:rPr>
        <w:t>d</w:t>
      </w:r>
      <w:r w:rsidRPr="00AA4488">
        <w:rPr>
          <w:rFonts w:ascii="Arial" w:eastAsia="Times New Roman" w:hAnsi="Arial" w:cs="Arial"/>
          <w:lang w:eastAsia="sr-Latn-CS"/>
        </w:rPr>
        <w:t xml:space="preserve"> - kalendarski broj dana u godini (365 - prosta godina, odnosno 366 dana - prestupna godina).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Zatezna kamata, iz stava 1. ovog člana, obračunava se za sve kalendarske dane u obračunskom periodu.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Pod obračunskim periodom podrazumeva se period od prvog dana docnje, odnosno promene iznosa duga i/ili promene stope zatezne kamate u periodu docnje za koji se vrši obračun, zaključno sa danom konačnog izmirenja glavnice, odnosno duga.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U obračunskim periodima iz stava 3. ovog člana, primenjuje se stopa zatezne kamate koja je važila u periodu za koji se vrši obračun.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Ukupan iznos zatezne kamate predstavlja zbir obračunate kamate za svaki pojedinačni obračunski period iz stava 3. ovog člana. </w:t>
      </w:r>
    </w:p>
    <w:p w:rsidR="00AA4488" w:rsidRPr="00AA4488" w:rsidRDefault="00AA4488" w:rsidP="00AA44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" w:name="clan_7"/>
      <w:bookmarkEnd w:id="6"/>
      <w:r w:rsidRPr="00AA448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7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Stope zatezne kamate iz čl. 3. i 4. ovog zakona objavljuje Narodna banka Srbije na svojoj internet prezentaciji i primenjuju se od narednog dana od dana objavljivanja.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Narodna banka Srbije će stope zatezne kamate iz člana 4. ovog zakona objavljivati za valute predviđene propisom kojim se utvrđuju vrste deviza i efektivnog stranog novca koje se kupuju i prodaju na deviznom tržištu. </w:t>
      </w:r>
    </w:p>
    <w:p w:rsidR="00AA4488" w:rsidRPr="00AA4488" w:rsidRDefault="00AA4488" w:rsidP="00AA44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" w:name="clan_8"/>
      <w:bookmarkEnd w:id="7"/>
      <w:r w:rsidRPr="00AA448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8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Odredbe ovog zakona ne primenjuju se na dužničko-poverilačke odnose za koje su visina stope i način obračuna zatezne kamate utvrđeni drugim zakonom. </w:t>
      </w:r>
    </w:p>
    <w:p w:rsidR="00AA4488" w:rsidRPr="00AA4488" w:rsidRDefault="00AA4488" w:rsidP="00AA44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clan_9"/>
      <w:bookmarkEnd w:id="8"/>
      <w:r w:rsidRPr="00AA448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9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 xml:space="preserve">Danom stupanja na snagu ovog zakona prestaje da važi Zakon o visini stope zatezne kamate ("Službeni list SRJ", broj 9/01 i "Službeni glasnik RS", br. 31/11 i 73/12 - US). </w:t>
      </w:r>
    </w:p>
    <w:p w:rsidR="00AA4488" w:rsidRPr="00AA4488" w:rsidRDefault="00AA4488" w:rsidP="00AA44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" w:name="clan_10"/>
      <w:bookmarkEnd w:id="9"/>
      <w:r w:rsidRPr="00AA448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10 </w:t>
      </w:r>
    </w:p>
    <w:p w:rsidR="00AA4488" w:rsidRPr="00AA4488" w:rsidRDefault="00AA4488" w:rsidP="00AA44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A4488">
        <w:rPr>
          <w:rFonts w:ascii="Arial" w:eastAsia="Times New Roman" w:hAnsi="Arial" w:cs="Arial"/>
          <w:lang w:eastAsia="sr-Latn-CS"/>
        </w:rPr>
        <w:t>Ovaj zakon stupa na snagu osmog dana od dana objavljivanja u "Službenom glasniku Republike Srbije".</w:t>
      </w:r>
    </w:p>
    <w:p w:rsidR="00552CA0" w:rsidRDefault="00552CA0">
      <w:bookmarkStart w:id="10" w:name="_GoBack"/>
      <w:bookmarkEnd w:id="10"/>
    </w:p>
    <w:sectPr w:rsidR="00552CA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88"/>
    <w:rsid w:val="00552CA0"/>
    <w:rsid w:val="00A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simens</dc:creator>
  <cp:lastModifiedBy>simens</cp:lastModifiedBy>
  <cp:revision>1</cp:revision>
  <dcterms:created xsi:type="dcterms:W3CDTF">2016-05-26T10:01:00Z</dcterms:created>
  <dcterms:modified xsi:type="dcterms:W3CDTF">2016-05-26T10:01:00Z</dcterms:modified>
</cp:coreProperties>
</file>